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051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18"/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件4</w:t>
      </w:r>
    </w:p>
    <w:p w14:paraId="76972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</w:p>
    <w:bookmarkEnd w:id="0"/>
    <w:p w14:paraId="053D7FD0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华文中宋" w:cs="华文中宋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华文中宋" w:cs="华文中宋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  <w:t>全国第八届大学生艺术展演活动</w:t>
      </w:r>
    </w:p>
    <w:p w14:paraId="3C3AAD74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华文中宋" w:cs="华文中宋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华文中宋" w:cs="华文中宋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  <w14:ligatures w14:val="none"/>
        </w:rPr>
        <w:t>高校美育改革创新优秀成果的相关要求</w:t>
      </w:r>
    </w:p>
    <w:p w14:paraId="0AF0E9B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</w:p>
    <w:p w14:paraId="79D8346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yellow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高校美育改革创新优秀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成果包括学术论文和教学改革案例2个类别。</w:t>
      </w:r>
    </w:p>
    <w:p w14:paraId="3BBCCAE2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3" w:firstLineChars="198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一、</w:t>
      </w:r>
      <w:bookmarkStart w:id="1" w:name="OLE_LINK20"/>
      <w:bookmarkStart w:id="2" w:name="OLE_LINK21"/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选题范围</w:t>
      </w:r>
      <w:bookmarkEnd w:id="1"/>
    </w:p>
    <w:p w14:paraId="735B266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（一）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学术论文</w:t>
      </w:r>
    </w:p>
    <w:p w14:paraId="07EB5B4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学校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美育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的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内涵与价值功能</w:t>
      </w:r>
    </w:p>
    <w:p w14:paraId="3FF256D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中华美育精神的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内在意蕴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与时代价值</w:t>
      </w:r>
    </w:p>
    <w:p w14:paraId="4F135D1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学校美育浸润行动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的实践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路径</w:t>
      </w:r>
    </w:p>
    <w:p w14:paraId="7D58E7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高校教师美育素养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提升路径</w:t>
      </w:r>
    </w:p>
    <w:p w14:paraId="15649B0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高校学科美育与创新型人才培养</w:t>
      </w:r>
    </w:p>
    <w:p w14:paraId="1824E35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“五育并举”视域下高校美育育人模式创新</w:t>
      </w:r>
    </w:p>
    <w:p w14:paraId="5C0DF79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新时代高校美育评价改革</w:t>
      </w:r>
    </w:p>
    <w:p w14:paraId="3F9D0B8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中华优秀传统文化融入高校美育的策略与路径</w:t>
      </w:r>
    </w:p>
    <w:p w14:paraId="5D8C71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高校数字美育新生态构建</w:t>
      </w:r>
    </w:p>
    <w:p w14:paraId="38376D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艺术师范教育改革发展</w:t>
      </w:r>
    </w:p>
    <w:p w14:paraId="7866E7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高校艺术教育中外比较</w:t>
      </w:r>
    </w:p>
    <w:p w14:paraId="6D1AB7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高校美育赋能经济社会发展实施路径</w:t>
      </w:r>
    </w:p>
    <w:p w14:paraId="6BA3208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（二）教学改革案例</w:t>
      </w:r>
    </w:p>
    <w:p w14:paraId="2B3382A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高校公共艺术教育教学体系建设</w:t>
      </w:r>
    </w:p>
    <w:p w14:paraId="14C671C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高校美育课程与教材建设</w:t>
      </w:r>
    </w:p>
    <w:p w14:paraId="2D6E163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高校学生艺术社团及实践工作坊建设</w:t>
      </w:r>
    </w:p>
    <w:p w14:paraId="1FD9091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高校跨学科美育实践</w:t>
      </w:r>
    </w:p>
    <w:p w14:paraId="19EEB9D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高校美育专门机构和教师队伍建设</w:t>
      </w:r>
    </w:p>
    <w:p w14:paraId="767F41E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高校美育评价制度建设</w:t>
      </w:r>
    </w:p>
    <w:p w14:paraId="41C757C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美育名师工作室建设</w:t>
      </w:r>
    </w:p>
    <w:p w14:paraId="56173B2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中华优秀传统文化艺术传承基地建设</w:t>
      </w:r>
    </w:p>
    <w:p w14:paraId="1EB1231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艺术展演育人实践</w:t>
      </w:r>
    </w:p>
    <w:p w14:paraId="0F32B3A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艺术师范教育基本功展示引领人才培养</w:t>
      </w:r>
    </w:p>
    <w:p w14:paraId="618A4E2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高校助力乡村学校美育提质发展</w:t>
      </w:r>
    </w:p>
    <w:p w14:paraId="513FE3B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高校美育资源与社会艺术资源共建共享</w:t>
      </w:r>
    </w:p>
    <w:p w14:paraId="45D21672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33" w:firstLineChars="198"/>
        <w:textAlignment w:val="auto"/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二、有关要求</w:t>
      </w:r>
    </w:p>
    <w:p w14:paraId="54D229AB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楷体_GBK" w:cs="Times New Roman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一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）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人数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要求</w:t>
      </w:r>
    </w:p>
    <w:p w14:paraId="396F45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学术论文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作者不超过2人；教学改革案例以单位名义提交，完成人不超过3人。</w:t>
      </w:r>
    </w:p>
    <w:p w14:paraId="17A777DB">
      <w:pPr>
        <w:keepNext w:val="0"/>
        <w:keepLines w:val="0"/>
        <w:pageBreakBefore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方正楷体_GBK" w:cs="Times New Roman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二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）材料要求</w:t>
      </w:r>
    </w:p>
    <w:p w14:paraId="079069F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1.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学术论文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应为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未公开发表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的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论文，须含摘要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300字左右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）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3—5个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关键词、正文（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不少于5000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字）及参考文献，论据充分，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论证清晰、有条理，有实践指导意义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。A4排版，页边距上3.8cm、下3.2cm、左3.5cm、右2.5cm；主标题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方正小标宋简体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二号居中；副标题宋体小二号（加破折号）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；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正文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一级标题黑体三号（序号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一、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”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），二级标题楷体三号（序号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（一）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”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），三级标题仿宋三号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加粗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（序号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1.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”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，数字为Times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New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Roman）；正文仿宋三号，首行缩进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2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字符，行距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固定值30磅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684ADE1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2.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教学改革案例。</w:t>
      </w:r>
      <w:r>
        <w:rPr>
          <w:rFonts w:hint="eastAsia" w:ascii="Times New Roman" w:hAnsi="Times New Roman" w:eastAsia="仿宋_GB2312" w:cs="Times New Roman"/>
          <w:b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应为某地区或某高校美育改革经验总结，</w:t>
      </w:r>
      <w:r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提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交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文字+视频+图片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”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组合材料。文字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材料须包含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背景、做法、成效、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建议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等要素，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主题突出、层次分明、特色鲜明，具有创新性、实效性、可推广性，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字数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5000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以内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，排版格式参照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  <w14:ligatures w14:val="none"/>
        </w:rPr>
        <w:t>学术论文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相关要求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。可选择性提交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1个视频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和5张以内图片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内容要紧扣文字材料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，充分展示美育改革实践成果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。视频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时长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5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分钟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以内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，格式为MP4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或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MOV，大小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  <w14:ligatures w14:val="none"/>
        </w:rPr>
        <w:t>不超过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1G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图片选取代表性场景、作品、成效，JPG格式，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大小不低于10M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  <w14:ligatures w14:val="none"/>
        </w:rPr>
        <w:t>，分辨率为300dpi。</w:t>
      </w:r>
      <w:bookmarkEnd w:id="2"/>
    </w:p>
    <w:p w14:paraId="09B55EC2">
      <w:bookmarkStart w:id="3" w:name="_GoBack"/>
      <w:bookmarkEnd w:id="3"/>
    </w:p>
    <w:sectPr>
      <w:footerReference r:id="rId3" w:type="default"/>
      <w:pgSz w:w="11906" w:h="16838"/>
      <w:pgMar w:top="1440" w:right="1803" w:bottom="1440" w:left="1803" w:header="851" w:footer="1361" w:gutter="0"/>
      <w:pgNumType w:fmt="decimal" w:start="8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F76A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53417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53417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D07E49"/>
    <w:multiLevelType w:val="singleLevel"/>
    <w:tmpl w:val="EED07E49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58B2A36"/>
    <w:multiLevelType w:val="singleLevel"/>
    <w:tmpl w:val="358B2A36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E7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2026-09-03T07:30:24Z</dcterms:created>
  <dc:creator>zz</dc:creator>
  <cp:lastModifiedBy>阿悦</cp:lastModifiedBy>
  <dcterms:modified xsi:type="dcterms:W3CDTF">2026-09-03T07:30:35Z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eyJoZGlkIjoiNTUwZTI1N2YxMzhhNWQ5NjcwYjVjNjg5MTVhMzdiMGYiLCJ1c2VySWQiOiIzNTY3NTc1NjAifQ==</vt:lpwstr>
  </property>
  <property fmtid="{D5CDD505-2E9C-101B-9397-08002B2CF9AE}" pid="4" name="ICV">
    <vt:lpwstr>9A1CEDA5EE9342CD8D85F5092F005362_12</vt:lpwstr>
  </property>
</Properties>
</file>