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3"/>
        <w:tblW w:w="928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59"/>
        <w:gridCol w:w="4111"/>
        <w:gridCol w:w="1654"/>
        <w:gridCol w:w="222"/>
        <w:gridCol w:w="222"/>
        <w:gridCol w:w="22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1446" w:firstLineChars="450"/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述职人员名单和顺序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述职顺序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述职人员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述职部门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顾艳荭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吕永红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国际教育学院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胡兆燕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医疗器械学院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陈凤贞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医学技术学院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秦啸龙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临床医学院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杨智昉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基础医学院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何培忠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医学影像学院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钱芝网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健康信息技术与管理学院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徐一新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王  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徐  迪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文理学院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田霖霞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思政部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徐小萍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继续教育学院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耿  铭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党办副主任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郭戎静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组织部长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杜  峥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宣传部副部长（主）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钱  艳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学工部长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吕晓丽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团委书记兼学工部副部长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郑学文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纪委办主任、监察处处长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凌文惠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工会副主席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汤  磊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校办主任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丁岳伟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发展规划处处长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张  梅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教务处处长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莫国民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科技处副处长（主）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薛文隽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国际交流处副处长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金东英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人事处处长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程  文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财务处代理副处长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张美蓉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审计处副处长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詹昌明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资产后勤处处长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施晓谋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保卫处处长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董伟峰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基建处副处长（主）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王  涌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校友办副主任（主）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朱文娟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附属卫校常务副校长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魏景赋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图书馆馆长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唐坚刚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信息管理中心副主任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解  军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教师发展与教学研究中心副主任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modern"/>
    <w:pitch w:val="default"/>
    <w:sig w:usb0="00000000" w:usb1="00000000" w:usb2="00000000" w:usb3="00000000" w:csb0="80000000" w:csb1="00000000"/>
  </w:font>
  <w:font w:name="仿宋">
    <w:altName w:val="仿宋_GB2312"/>
    <w:panose1 w:val="00000000000000000000"/>
    <w:charset w:val="86"/>
    <w:family w:val="swiss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D4A0A"/>
    <w:rsid w:val="756D4A0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2015-11-20T01:48:00Z</dcterms:created>
  <dc:creator>Administrator</dc:creator>
  <cp:lastModifiedBy>Administrator</cp:lastModifiedBy>
  <dcterms:modified xsi:type="dcterms:W3CDTF">2015-11-20T01:48:48Z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